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2" w:rsidRPr="00E752D5" w:rsidRDefault="00363BE2" w:rsidP="00E752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E752D5">
        <w:rPr>
          <w:rFonts w:cs="Arial"/>
          <w:b/>
          <w:bCs/>
          <w:kern w:val="32"/>
          <w:sz w:val="32"/>
          <w:szCs w:val="32"/>
        </w:rPr>
        <w:t>АДМИНИСТРАЦИЯ</w:t>
      </w:r>
      <w:r w:rsidR="00E752D5" w:rsidRPr="00E752D5">
        <w:rPr>
          <w:rFonts w:cs="Arial"/>
          <w:b/>
          <w:bCs/>
          <w:kern w:val="32"/>
          <w:sz w:val="32"/>
          <w:szCs w:val="32"/>
        </w:rPr>
        <w:t xml:space="preserve"> </w:t>
      </w:r>
      <w:r w:rsidRPr="00E752D5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363BE2" w:rsidRPr="00E752D5" w:rsidRDefault="00363BE2" w:rsidP="00E752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E752D5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E752D5" w:rsidRPr="00E752D5" w:rsidRDefault="00E752D5" w:rsidP="00E752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p w:rsidR="00363BE2" w:rsidRPr="00E752D5" w:rsidRDefault="00363BE2" w:rsidP="00E752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E752D5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363BE2" w:rsidRDefault="00363BE2" w:rsidP="00E752D5">
      <w:pPr>
        <w:pStyle w:val="a3"/>
        <w:rPr>
          <w:rFonts w:ascii="Arial" w:hAnsi="Arial" w:cs="Arial"/>
          <w:sz w:val="24"/>
        </w:rPr>
      </w:pPr>
    </w:p>
    <w:p w:rsidR="00E752D5" w:rsidRPr="00E752D5" w:rsidRDefault="00E752D5" w:rsidP="00E752D5">
      <w:pPr>
        <w:pStyle w:val="a3"/>
        <w:rPr>
          <w:rFonts w:ascii="Arial" w:hAnsi="Arial" w:cs="Arial"/>
          <w:sz w:val="24"/>
        </w:rPr>
      </w:pPr>
    </w:p>
    <w:p w:rsidR="00363BE2" w:rsidRPr="00E752D5" w:rsidRDefault="00363BE2" w:rsidP="00E752D5">
      <w:pPr>
        <w:pStyle w:val="a3"/>
        <w:rPr>
          <w:rFonts w:ascii="Arial" w:hAnsi="Arial" w:cs="Arial"/>
          <w:sz w:val="24"/>
        </w:rPr>
      </w:pPr>
      <w:r w:rsidRPr="00E752D5">
        <w:rPr>
          <w:rFonts w:ascii="Arial" w:hAnsi="Arial" w:cs="Arial"/>
          <w:sz w:val="24"/>
        </w:rPr>
        <w:t>от 18.05.2012</w:t>
      </w:r>
      <w:r w:rsidR="00E752D5" w:rsidRPr="00E752D5">
        <w:rPr>
          <w:rFonts w:ascii="Arial" w:hAnsi="Arial" w:cs="Arial"/>
          <w:sz w:val="24"/>
        </w:rPr>
        <w:t xml:space="preserve"> </w:t>
      </w:r>
      <w:r w:rsidR="00E752D5">
        <w:rPr>
          <w:rFonts w:ascii="Arial" w:hAnsi="Arial" w:cs="Arial"/>
          <w:sz w:val="24"/>
        </w:rPr>
        <w:tab/>
      </w:r>
      <w:r w:rsidR="00E752D5">
        <w:rPr>
          <w:rFonts w:ascii="Arial" w:hAnsi="Arial" w:cs="Arial"/>
          <w:sz w:val="24"/>
        </w:rPr>
        <w:tab/>
      </w:r>
      <w:r w:rsidR="00E752D5">
        <w:rPr>
          <w:rFonts w:ascii="Arial" w:hAnsi="Arial" w:cs="Arial"/>
          <w:sz w:val="24"/>
        </w:rPr>
        <w:tab/>
      </w:r>
      <w:r w:rsidR="00E752D5">
        <w:rPr>
          <w:rFonts w:ascii="Arial" w:hAnsi="Arial" w:cs="Arial"/>
          <w:sz w:val="24"/>
        </w:rPr>
        <w:tab/>
      </w:r>
      <w:r w:rsidR="00E752D5">
        <w:rPr>
          <w:rFonts w:ascii="Arial" w:hAnsi="Arial" w:cs="Arial"/>
          <w:sz w:val="24"/>
        </w:rPr>
        <w:tab/>
      </w:r>
      <w:r w:rsidR="00E752D5">
        <w:rPr>
          <w:rFonts w:ascii="Arial" w:hAnsi="Arial" w:cs="Arial"/>
          <w:sz w:val="24"/>
        </w:rPr>
        <w:tab/>
      </w:r>
      <w:r w:rsidR="00E752D5">
        <w:rPr>
          <w:rFonts w:ascii="Arial" w:hAnsi="Arial" w:cs="Arial"/>
          <w:sz w:val="24"/>
        </w:rPr>
        <w:tab/>
      </w:r>
      <w:r w:rsidR="00E752D5">
        <w:rPr>
          <w:rFonts w:ascii="Arial" w:hAnsi="Arial" w:cs="Arial"/>
          <w:sz w:val="24"/>
        </w:rPr>
        <w:tab/>
      </w:r>
      <w:r w:rsidR="00E752D5">
        <w:rPr>
          <w:rFonts w:ascii="Arial" w:hAnsi="Arial" w:cs="Arial"/>
          <w:sz w:val="24"/>
        </w:rPr>
        <w:tab/>
      </w:r>
      <w:r w:rsidRPr="00E752D5">
        <w:rPr>
          <w:rFonts w:ascii="Arial" w:hAnsi="Arial" w:cs="Arial"/>
          <w:sz w:val="24"/>
        </w:rPr>
        <w:t>№</w:t>
      </w:r>
      <w:r w:rsidR="00E752D5" w:rsidRPr="00E752D5">
        <w:rPr>
          <w:rFonts w:ascii="Arial" w:hAnsi="Arial" w:cs="Arial"/>
          <w:sz w:val="24"/>
        </w:rPr>
        <w:t xml:space="preserve"> </w:t>
      </w:r>
      <w:r w:rsidRPr="00E752D5">
        <w:rPr>
          <w:rFonts w:ascii="Arial" w:hAnsi="Arial" w:cs="Arial"/>
          <w:sz w:val="24"/>
        </w:rPr>
        <w:t>355</w:t>
      </w:r>
    </w:p>
    <w:p w:rsidR="00363BE2" w:rsidRDefault="00363BE2" w:rsidP="00E752D5">
      <w:pPr>
        <w:pStyle w:val="a3"/>
        <w:rPr>
          <w:rFonts w:ascii="Arial" w:hAnsi="Arial" w:cs="Arial"/>
          <w:sz w:val="24"/>
        </w:rPr>
      </w:pPr>
    </w:p>
    <w:p w:rsidR="00E752D5" w:rsidRPr="00E752D5" w:rsidRDefault="00E752D5" w:rsidP="00E752D5">
      <w:pPr>
        <w:pStyle w:val="a3"/>
        <w:rPr>
          <w:rFonts w:ascii="Arial" w:hAnsi="Arial" w:cs="Arial"/>
          <w:sz w:val="24"/>
        </w:rPr>
      </w:pPr>
    </w:p>
    <w:p w:rsidR="00E752D5" w:rsidRPr="00E752D5" w:rsidRDefault="00363BE2" w:rsidP="00E752D5">
      <w:pPr>
        <w:pStyle w:val="a3"/>
        <w:jc w:val="center"/>
        <w:rPr>
          <w:rFonts w:ascii="Arial" w:hAnsi="Arial" w:cs="Arial"/>
          <w:sz w:val="24"/>
        </w:rPr>
      </w:pPr>
      <w:r w:rsidRPr="00E752D5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постановление администрации города Радужный от 13.11.2010 №529 «Об утверждении муниципальной целевой программы «Электронный Радужный (2010-2013 годы)»</w:t>
      </w:r>
    </w:p>
    <w:p w:rsidR="00371FAF" w:rsidRDefault="00371FAF" w:rsidP="00371FAF">
      <w:pPr>
        <w:pStyle w:val="a3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(Утратил силу постановлением Администрации </w:t>
      </w:r>
      <w:hyperlink r:id="rId4" w:tgtFrame="Cancelling" w:history="1">
        <w:r w:rsidRPr="00352932">
          <w:rPr>
            <w:rStyle w:val="a8"/>
            <w:rFonts w:ascii="Arial" w:hAnsi="Arial" w:cs="Arial"/>
            <w:sz w:val="24"/>
            <w:szCs w:val="24"/>
          </w:rPr>
          <w:t>от 27.11.2013 № 2466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E752D5" w:rsidRDefault="00E752D5" w:rsidP="00E752D5">
      <w:pPr>
        <w:pStyle w:val="a3"/>
        <w:rPr>
          <w:rFonts w:ascii="Arial" w:hAnsi="Arial" w:cs="Arial"/>
          <w:sz w:val="24"/>
        </w:rPr>
      </w:pPr>
      <w:bookmarkStart w:id="0" w:name="_GoBack"/>
      <w:bookmarkEnd w:id="0"/>
    </w:p>
    <w:p w:rsidR="00E752D5" w:rsidRPr="00E752D5" w:rsidRDefault="00E752D5" w:rsidP="00E752D5">
      <w:pPr>
        <w:pStyle w:val="a3"/>
        <w:rPr>
          <w:rFonts w:ascii="Arial" w:hAnsi="Arial" w:cs="Arial"/>
          <w:sz w:val="24"/>
        </w:rPr>
      </w:pPr>
    </w:p>
    <w:p w:rsidR="00363BE2" w:rsidRPr="00E752D5" w:rsidRDefault="00363BE2" w:rsidP="00E752D5">
      <w:pPr>
        <w:pStyle w:val="a3"/>
        <w:rPr>
          <w:rFonts w:ascii="Arial" w:hAnsi="Arial" w:cs="Arial"/>
          <w:sz w:val="24"/>
        </w:rPr>
      </w:pPr>
      <w:r w:rsidRPr="00E752D5">
        <w:rPr>
          <w:rFonts w:ascii="Arial" w:hAnsi="Arial" w:cs="Arial"/>
          <w:sz w:val="24"/>
        </w:rPr>
        <w:t>В целях уточнения отдельных положений правового акта администра-ции города Радужный:</w:t>
      </w:r>
    </w:p>
    <w:p w:rsidR="00E752D5" w:rsidRPr="00E752D5" w:rsidRDefault="00E752D5" w:rsidP="00E752D5">
      <w:pPr>
        <w:pStyle w:val="a3"/>
        <w:rPr>
          <w:rFonts w:ascii="Arial" w:hAnsi="Arial" w:cs="Arial"/>
          <w:sz w:val="24"/>
        </w:rPr>
      </w:pPr>
    </w:p>
    <w:p w:rsidR="00363BE2" w:rsidRPr="00E752D5" w:rsidRDefault="00363BE2" w:rsidP="00E752D5">
      <w:pPr>
        <w:pStyle w:val="a3"/>
        <w:rPr>
          <w:rFonts w:ascii="Arial" w:hAnsi="Arial" w:cs="Arial"/>
          <w:sz w:val="24"/>
        </w:rPr>
      </w:pPr>
      <w:r w:rsidRPr="00E752D5">
        <w:rPr>
          <w:rFonts w:ascii="Arial" w:hAnsi="Arial" w:cs="Arial"/>
          <w:sz w:val="24"/>
        </w:rPr>
        <w:t>1. Внести в постановление администрации города Радужный</w:t>
      </w:r>
      <w:r w:rsidR="00E752D5" w:rsidRPr="00E752D5">
        <w:rPr>
          <w:rFonts w:ascii="Arial" w:hAnsi="Arial" w:cs="Arial"/>
          <w:sz w:val="24"/>
        </w:rPr>
        <w:t xml:space="preserve"> </w:t>
      </w:r>
      <w:hyperlink r:id="rId5" w:tgtFrame="ChangingDocument" w:tooltip="Об утверждении муниципальной целевой программы " w:history="1">
        <w:r w:rsidRPr="00185EDB">
          <w:rPr>
            <w:rStyle w:val="a8"/>
            <w:rFonts w:ascii="Arial" w:hAnsi="Arial" w:cs="Arial"/>
            <w:sz w:val="24"/>
          </w:rPr>
          <w:t>от 13.11.2010 №529</w:t>
        </w:r>
      </w:hyperlink>
      <w:r w:rsidRPr="00E752D5">
        <w:rPr>
          <w:rFonts w:ascii="Arial" w:hAnsi="Arial" w:cs="Arial"/>
          <w:sz w:val="24"/>
        </w:rPr>
        <w:t xml:space="preserve"> «Об утверждении муниципальной целевой программы «Электронный Радужный (2010-2013 годы)» изменения, изложив приложение 2 к Программе «Основные мероприятия Программы» в новой редакции согласно </w:t>
      </w:r>
      <w:hyperlink r:id="rId6" w:anchor="приложение" w:tgtFrame="Logical" w:tooltip="О внесении изменений в постановление администрации города Радужный от 13.11.2010 №529 " w:history="1">
        <w:r w:rsidRPr="00185EDB">
          <w:rPr>
            <w:rStyle w:val="a8"/>
            <w:rFonts w:ascii="Arial" w:hAnsi="Arial" w:cs="Arial"/>
            <w:sz w:val="24"/>
          </w:rPr>
          <w:t>приложению</w:t>
        </w:r>
      </w:hyperlink>
      <w:r w:rsidRPr="00E752D5">
        <w:rPr>
          <w:rFonts w:ascii="Arial" w:hAnsi="Arial" w:cs="Arial"/>
          <w:sz w:val="24"/>
        </w:rPr>
        <w:t>.</w:t>
      </w:r>
    </w:p>
    <w:p w:rsidR="00363BE2" w:rsidRPr="00E752D5" w:rsidRDefault="00363BE2" w:rsidP="00E752D5">
      <w:pPr>
        <w:pStyle w:val="a3"/>
        <w:rPr>
          <w:rFonts w:ascii="Arial" w:hAnsi="Arial" w:cs="Arial"/>
          <w:sz w:val="24"/>
        </w:rPr>
      </w:pPr>
      <w:r w:rsidRPr="00E752D5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(Ермоленко О.А.) опубликовать постановление в газете «Новости Радужного. Официальная среда» и разместить на официальном сайте администрации города.</w:t>
      </w:r>
    </w:p>
    <w:p w:rsidR="00E752D5" w:rsidRPr="00E752D5" w:rsidRDefault="00363BE2" w:rsidP="00E752D5">
      <w:pPr>
        <w:pStyle w:val="a3"/>
        <w:rPr>
          <w:rFonts w:ascii="Arial" w:hAnsi="Arial" w:cs="Arial"/>
          <w:sz w:val="24"/>
        </w:rPr>
      </w:pPr>
      <w:r w:rsidRPr="00E752D5">
        <w:rPr>
          <w:rFonts w:ascii="Arial" w:hAnsi="Arial" w:cs="Arial"/>
          <w:sz w:val="24"/>
        </w:rPr>
        <w:t>3. Контроль за выполнением постановления оставляю за собой.</w:t>
      </w:r>
    </w:p>
    <w:p w:rsidR="00E752D5" w:rsidRDefault="00E752D5" w:rsidP="00E752D5">
      <w:pPr>
        <w:pStyle w:val="a3"/>
        <w:rPr>
          <w:rFonts w:ascii="Arial" w:hAnsi="Arial" w:cs="Arial"/>
          <w:sz w:val="24"/>
        </w:rPr>
      </w:pPr>
    </w:p>
    <w:p w:rsidR="006F34D1" w:rsidRPr="00E752D5" w:rsidRDefault="006F34D1" w:rsidP="00E752D5">
      <w:pPr>
        <w:pStyle w:val="a3"/>
        <w:rPr>
          <w:rFonts w:ascii="Arial" w:hAnsi="Arial" w:cs="Arial"/>
          <w:sz w:val="24"/>
        </w:rPr>
      </w:pPr>
    </w:p>
    <w:p w:rsidR="00363BE2" w:rsidRPr="00E752D5" w:rsidRDefault="00363BE2" w:rsidP="00E752D5">
      <w:pPr>
        <w:rPr>
          <w:rFonts w:cs="Arial"/>
        </w:rPr>
      </w:pPr>
      <w:r w:rsidRPr="00E752D5">
        <w:rPr>
          <w:rFonts w:cs="Arial"/>
        </w:rPr>
        <w:t>Глава администрации</w:t>
      </w:r>
    </w:p>
    <w:p w:rsidR="00995D04" w:rsidRPr="00E752D5" w:rsidRDefault="00363BE2" w:rsidP="00E752D5">
      <w:pPr>
        <w:rPr>
          <w:rFonts w:cs="Arial"/>
        </w:rPr>
      </w:pPr>
      <w:r w:rsidRPr="00E752D5">
        <w:rPr>
          <w:rFonts w:cs="Arial"/>
        </w:rPr>
        <w:t>города Радужный</w:t>
      </w:r>
      <w:r w:rsidR="00E752D5" w:rsidRPr="00E752D5">
        <w:rPr>
          <w:rFonts w:cs="Arial"/>
        </w:rPr>
        <w:t xml:space="preserve"> </w:t>
      </w:r>
      <w:r w:rsidR="006F34D1">
        <w:rPr>
          <w:rFonts w:cs="Arial"/>
        </w:rPr>
        <w:tab/>
      </w:r>
      <w:r w:rsidR="006F34D1">
        <w:rPr>
          <w:rFonts w:cs="Arial"/>
        </w:rPr>
        <w:tab/>
      </w:r>
      <w:r w:rsidR="006F34D1">
        <w:rPr>
          <w:rFonts w:cs="Arial"/>
        </w:rPr>
        <w:tab/>
      </w:r>
      <w:r w:rsidR="006F34D1">
        <w:rPr>
          <w:rFonts w:cs="Arial"/>
        </w:rPr>
        <w:tab/>
      </w:r>
      <w:r w:rsidR="006F34D1">
        <w:rPr>
          <w:rFonts w:cs="Arial"/>
        </w:rPr>
        <w:tab/>
      </w:r>
      <w:r w:rsidR="006F34D1">
        <w:rPr>
          <w:rFonts w:cs="Arial"/>
        </w:rPr>
        <w:tab/>
      </w:r>
      <w:r w:rsidR="006F34D1">
        <w:rPr>
          <w:rFonts w:cs="Arial"/>
        </w:rPr>
        <w:tab/>
      </w:r>
      <w:r w:rsidRPr="00E752D5">
        <w:rPr>
          <w:rFonts w:cs="Arial"/>
        </w:rPr>
        <w:t>С.Н. Баскаков</w:t>
      </w:r>
    </w:p>
    <w:p w:rsidR="00294E78" w:rsidRPr="00E752D5" w:rsidRDefault="00294E78" w:rsidP="00E752D5">
      <w:pPr>
        <w:rPr>
          <w:rFonts w:cs="Arial"/>
        </w:rPr>
      </w:pPr>
    </w:p>
    <w:p w:rsidR="00E752D5" w:rsidRPr="00E752D5" w:rsidRDefault="00E752D5" w:rsidP="00E752D5">
      <w:pPr>
        <w:rPr>
          <w:rFonts w:cs="Arial"/>
        </w:rPr>
        <w:sectPr w:rsidR="00E752D5" w:rsidRPr="00E752D5" w:rsidSect="00363B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F34D1" w:rsidRDefault="006F34D1" w:rsidP="00E752D5">
      <w:pPr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</w:p>
    <w:p w:rsidR="00E752D5" w:rsidRPr="006F34D1" w:rsidRDefault="00E752D5" w:rsidP="006F34D1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6F34D1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  <w:r w:rsidRPr="006F34D1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E752D5" w:rsidRPr="006F34D1" w:rsidRDefault="00E752D5" w:rsidP="006F34D1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F34D1">
        <w:rPr>
          <w:rFonts w:cs="Arial"/>
          <w:b/>
          <w:bCs/>
          <w:kern w:val="28"/>
          <w:sz w:val="32"/>
          <w:szCs w:val="32"/>
        </w:rPr>
        <w:t>администрации города Радужный</w:t>
      </w:r>
    </w:p>
    <w:p w:rsidR="00E752D5" w:rsidRPr="006F34D1" w:rsidRDefault="00E752D5" w:rsidP="006F34D1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F34D1">
        <w:rPr>
          <w:rFonts w:cs="Arial"/>
          <w:b/>
          <w:bCs/>
          <w:kern w:val="28"/>
          <w:sz w:val="32"/>
          <w:szCs w:val="32"/>
        </w:rPr>
        <w:t>от 18.05.2012 № 355</w:t>
      </w:r>
    </w:p>
    <w:p w:rsidR="00E752D5" w:rsidRDefault="00E752D5" w:rsidP="00E752D5">
      <w:pPr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</w:p>
    <w:p w:rsidR="006F34D1" w:rsidRPr="00E752D5" w:rsidRDefault="006F34D1" w:rsidP="00E752D5">
      <w:pPr>
        <w:autoSpaceDE w:val="0"/>
        <w:autoSpaceDN w:val="0"/>
        <w:adjustRightInd w:val="0"/>
        <w:jc w:val="right"/>
        <w:rPr>
          <w:rFonts w:cs="Arial"/>
          <w:color w:val="000000"/>
          <w:szCs w:val="28"/>
        </w:rPr>
      </w:pPr>
    </w:p>
    <w:p w:rsidR="00E752D5" w:rsidRPr="006F34D1" w:rsidRDefault="00E752D5" w:rsidP="006F34D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F34D1">
        <w:rPr>
          <w:rFonts w:cs="Arial"/>
          <w:b/>
          <w:bCs/>
          <w:kern w:val="32"/>
          <w:sz w:val="32"/>
          <w:szCs w:val="32"/>
        </w:rPr>
        <w:t>Основные м</w:t>
      </w:r>
      <w:r w:rsidRPr="006F34D1">
        <w:rPr>
          <w:rFonts w:cs="Arial"/>
          <w:b/>
          <w:kern w:val="32"/>
          <w:sz w:val="32"/>
          <w:szCs w:val="32"/>
        </w:rPr>
        <w:t>ероприятия</w:t>
      </w:r>
      <w:r w:rsidRPr="006F34D1">
        <w:rPr>
          <w:rFonts w:cs="Arial"/>
          <w:b/>
          <w:bCs/>
          <w:kern w:val="32"/>
          <w:sz w:val="32"/>
          <w:szCs w:val="32"/>
        </w:rPr>
        <w:t xml:space="preserve"> муниципальной целевой программы «Электронный Радужный (2010-2013 годы)»</w:t>
      </w:r>
    </w:p>
    <w:p w:rsidR="00E752D5" w:rsidRPr="006F34D1" w:rsidRDefault="00E752D5" w:rsidP="006F34D1"/>
    <w:tbl>
      <w:tblPr>
        <w:tblW w:w="1460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20"/>
        <w:gridCol w:w="1980"/>
        <w:gridCol w:w="1260"/>
        <w:gridCol w:w="810"/>
        <w:gridCol w:w="1080"/>
        <w:gridCol w:w="990"/>
        <w:gridCol w:w="945"/>
        <w:gridCol w:w="1395"/>
        <w:gridCol w:w="2160"/>
      </w:tblGrid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 xml:space="preserve">N </w:t>
            </w:r>
            <w:r w:rsidRPr="00E752D5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 xml:space="preserve">Мероприятия </w:t>
            </w:r>
            <w:r w:rsidRPr="00E752D5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 xml:space="preserve">Срок </w:t>
            </w:r>
            <w:r w:rsidRPr="00E752D5">
              <w:rPr>
                <w:sz w:val="24"/>
                <w:szCs w:val="24"/>
              </w:rPr>
              <w:br/>
              <w:t>выпол-</w:t>
            </w:r>
            <w:r w:rsidRPr="00E752D5">
              <w:rPr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 xml:space="preserve">Финансовые затраты на </w:t>
            </w:r>
            <w:r w:rsidRPr="00E752D5">
              <w:rPr>
                <w:sz w:val="24"/>
                <w:szCs w:val="24"/>
              </w:rPr>
              <w:br/>
              <w:t xml:space="preserve">реализацию (тыс. рублей)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Источники</w:t>
            </w:r>
            <w:r w:rsidRPr="00E752D5">
              <w:rPr>
                <w:sz w:val="24"/>
                <w:szCs w:val="24"/>
              </w:rPr>
              <w:br/>
              <w:t xml:space="preserve">финансирования 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всего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752D5" w:rsidRPr="00E752D5" w:rsidTr="006F34D1">
        <w:trPr>
          <w:cantSplit/>
          <w:trHeight w:val="132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752D5">
                <w:rPr>
                  <w:sz w:val="24"/>
                  <w:szCs w:val="24"/>
                </w:rPr>
                <w:t>2010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752D5">
                <w:rPr>
                  <w:sz w:val="24"/>
                  <w:szCs w:val="24"/>
                </w:rPr>
                <w:t>2011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752D5">
                <w:rPr>
                  <w:sz w:val="24"/>
                  <w:szCs w:val="24"/>
                </w:rPr>
                <w:t>2012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1. Процент рабочих мест, оборудованных компьютерной техникой со сроком эксплуатации не более 5 лет – 70%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Создание и поддержание в состоянии, обеспечивающем эффективное применение, современного парка компьютерной техники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Обновление парка компьютерной техники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1500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1500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Дума города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1.2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 xml:space="preserve">Приобретение техники для создания новых автоматизированных рабочих мест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Итого по</w:t>
            </w:r>
            <w:r w:rsidRPr="00E752D5">
              <w:rPr>
                <w:sz w:val="24"/>
                <w:szCs w:val="24"/>
              </w:rPr>
              <w:br/>
              <w:t>подразделу 1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1500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1500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2. Процент муниципальных учреждений, имеющих локальные вычислительные сети -60%;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Создание локальных сетей в муниципальных организациях, обеспечивающих эффективное применение средств вычислительной техники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Модернизация и ремонт локальных сетей в муниципальных учреждениях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2.2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Модернизация информационной сети муниципальных учреждений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Итого по</w:t>
            </w:r>
            <w:r w:rsidRPr="00E752D5">
              <w:rPr>
                <w:sz w:val="24"/>
                <w:szCs w:val="24"/>
              </w:rPr>
              <w:br/>
              <w:t>подразделу 2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1500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1500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3. Минимально возможное время согласования организационно - распорядительных документов в системе электронного документооборота – 1 день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Расширение электронного документооборота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Расширение электронного документооборота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Итого по</w:t>
            </w:r>
            <w:r w:rsidRPr="00E752D5">
              <w:rPr>
                <w:sz w:val="24"/>
                <w:szCs w:val="24"/>
              </w:rPr>
              <w:br/>
              <w:t>подразделу 3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4. Процент автоматизированных рабочих мест муниципальных учреждений, обеспеченных актуальными версиями лицензионного программного обеспечения – 90%;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Приобретение лицензионного программного обеспечения.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Приобретение лицензионного программного обеспечения (системного, офисного)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9850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2925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2925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Дума города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4.2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Приобретение (разработка) специализированного программного обеспечения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4500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Управление культуры и искусства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Итого по</w:t>
            </w:r>
            <w:r w:rsidRPr="00E752D5">
              <w:rPr>
                <w:sz w:val="24"/>
                <w:szCs w:val="24"/>
              </w:rPr>
              <w:br/>
              <w:t>подразделу 4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12100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38000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14500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14500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9000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5. Расширение и модернизация телефонной станции администрации города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Расширение и модернизация телефонной станции администрации города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Расширение и модернизация телефонной станции администрации города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752D5">
                <w:rPr>
                  <w:sz w:val="24"/>
                  <w:szCs w:val="24"/>
                </w:rPr>
                <w:t>2011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Итого по</w:t>
            </w:r>
            <w:r w:rsidRPr="00E752D5">
              <w:rPr>
                <w:sz w:val="24"/>
                <w:szCs w:val="24"/>
              </w:rPr>
              <w:br/>
              <w:t>подразделу 5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6. Процент муниципальных учреждений, представляющих информацию в сети Интернет – 55%;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Представление информации муниципальных организаций в сети Интернет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6.1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Представление информации муниципальных организаций в сети Интернет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57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Итого по</w:t>
            </w:r>
            <w:r w:rsidRPr="00E752D5">
              <w:rPr>
                <w:sz w:val="24"/>
                <w:szCs w:val="24"/>
              </w:rPr>
              <w:br/>
              <w:t>подразделу 6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7. Процент муниципальных учреждений, обрабатывающих персональные данные в соответствии с законодательством о персональных данных – 100%;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Обеспечение защиты информации.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1250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1250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Итого по</w:t>
            </w:r>
            <w:r w:rsidRPr="00E752D5">
              <w:rPr>
                <w:sz w:val="24"/>
                <w:szCs w:val="24"/>
              </w:rPr>
              <w:br/>
              <w:t>подразделу 7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1250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1250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4000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752D5">
              <w:rPr>
                <w:rFonts w:cs="Arial"/>
              </w:rPr>
              <w:t>8. Количество работников администрации, прошедших обучение по работе с прикладным программным обеспечением – 60</w:t>
            </w:r>
          </w:p>
        </w:tc>
      </w:tr>
      <w:tr w:rsidR="00E752D5" w:rsidRPr="00E752D5" w:rsidTr="006F34D1">
        <w:trPr>
          <w:cantSplit/>
          <w:trHeight w:val="240"/>
          <w:jc w:val="center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Обучение персонала.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8.1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Итого по</w:t>
            </w:r>
            <w:r w:rsidRPr="00E752D5">
              <w:rPr>
                <w:sz w:val="24"/>
                <w:szCs w:val="24"/>
              </w:rPr>
              <w:br/>
              <w:t>подразделу 8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F34D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6F34D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</w:tbl>
    <w:p w:rsidR="00E752D5" w:rsidRPr="00E752D5" w:rsidRDefault="00E752D5" w:rsidP="00E752D5">
      <w:pPr>
        <w:jc w:val="center"/>
        <w:rPr>
          <w:rFonts w:cs="Arial"/>
          <w:b/>
          <w:bCs/>
          <w:szCs w:val="28"/>
        </w:rPr>
      </w:pPr>
    </w:p>
    <w:p w:rsidR="00E752D5" w:rsidRPr="00E752D5" w:rsidRDefault="00E752D5" w:rsidP="00E752D5">
      <w:pPr>
        <w:rPr>
          <w:rFonts w:cs="Arial"/>
        </w:rPr>
      </w:pPr>
    </w:p>
    <w:p w:rsidR="00E752D5" w:rsidRPr="00E752D5" w:rsidRDefault="00E752D5" w:rsidP="00E752D5">
      <w:pPr>
        <w:rPr>
          <w:rFonts w:cs="Arial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980"/>
        <w:gridCol w:w="1260"/>
        <w:gridCol w:w="810"/>
        <w:gridCol w:w="1080"/>
        <w:gridCol w:w="990"/>
        <w:gridCol w:w="945"/>
        <w:gridCol w:w="1395"/>
        <w:gridCol w:w="2160"/>
      </w:tblGrid>
      <w:tr w:rsidR="00E752D5" w:rsidRPr="00E752D5" w:rsidTr="006D4935">
        <w:trPr>
          <w:cantSplit/>
          <w:trHeight w:val="240"/>
        </w:trPr>
        <w:tc>
          <w:tcPr>
            <w:tcW w:w="14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 xml:space="preserve">9. Техническое обслуживание и оплата доступа к сети Интернет Центров общественного доступа. </w:t>
            </w:r>
          </w:p>
          <w:p w:rsidR="00E752D5" w:rsidRPr="00E752D5" w:rsidRDefault="00E752D5" w:rsidP="00E752D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52D5">
              <w:rPr>
                <w:rFonts w:cs="Arial"/>
              </w:rPr>
              <w:t>Оплата доступа к сети Интернет структурных подразделений администрации города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14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 xml:space="preserve">Техническое обслуживание и оплата доступа к сети Интернет Центров общественного доступа. </w:t>
            </w:r>
          </w:p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Оплата доступа к сети Интернет структурных подразделений администрации города</w:t>
            </w:r>
          </w:p>
        </w:tc>
      </w:tr>
      <w:tr w:rsidR="00E752D5" w:rsidRPr="00E752D5" w:rsidTr="006D493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9.1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 xml:space="preserve">Техническое обслуживание и оплата доступа к сети Интернет Центров общественного доступа. </w:t>
            </w:r>
          </w:p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Оплата доступа к сети Интернет структурных подразделений администрации города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Управление культуры и искусства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  <w:r w:rsidRPr="00E752D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D4935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D4935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D4935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D493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Итого по</w:t>
            </w:r>
            <w:r w:rsidRPr="00E752D5">
              <w:rPr>
                <w:sz w:val="24"/>
                <w:szCs w:val="24"/>
              </w:rPr>
              <w:br/>
              <w:t>подразделу 9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D4935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29150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13700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7700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7450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МО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62100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25200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21200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15700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Округ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b/>
                <w:sz w:val="24"/>
                <w:szCs w:val="24"/>
              </w:rPr>
            </w:pPr>
            <w:r w:rsidRPr="00E752D5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sz w:val="24"/>
                  <w:szCs w:val="24"/>
                </w:rPr>
                <w:t>2013 г</w:t>
              </w:r>
            </w:smartTag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  <w:lang w:val="en-US"/>
              </w:rPr>
            </w:pPr>
            <w:r w:rsidRPr="00E752D5">
              <w:rPr>
                <w:sz w:val="24"/>
                <w:szCs w:val="24"/>
                <w:lang w:val="en-US"/>
              </w:rPr>
              <w:t>27630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13450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6925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6855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  <w:lang w:val="en-US"/>
              </w:rPr>
            </w:pPr>
            <w:r w:rsidRPr="00E752D5">
              <w:rPr>
                <w:sz w:val="24"/>
                <w:szCs w:val="24"/>
                <w:lang w:val="en-US"/>
              </w:rPr>
              <w:t>62100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21200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15700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rFonts w:cs="Arial"/>
                </w:rPr>
                <w:t>2013 г</w:t>
              </w:r>
            </w:smartTag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275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rFonts w:cs="Arial"/>
                </w:rPr>
                <w:t>2013 г</w:t>
              </w:r>
            </w:smartTag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Управление культуры и искусства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rFonts w:cs="Arial"/>
                </w:rPr>
                <w:t>2013 г</w:t>
              </w:r>
            </w:smartTag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350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Дума города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52D5">
                <w:rPr>
                  <w:rFonts w:cs="Arial"/>
                </w:rPr>
                <w:t>2013 г</w:t>
              </w:r>
            </w:smartTag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125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МО</w:t>
            </w:r>
          </w:p>
        </w:tc>
      </w:tr>
      <w:tr w:rsidR="00E752D5" w:rsidRPr="00E752D5" w:rsidTr="006D4935">
        <w:trPr>
          <w:cantSplit/>
          <w:trHeight w:val="240"/>
        </w:trPr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rPr>
                <w:rFonts w:cs="Arial"/>
              </w:rPr>
            </w:pPr>
            <w:r w:rsidRPr="00E752D5">
              <w:rPr>
                <w:rFonts w:cs="Arial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D5" w:rsidRPr="00E752D5" w:rsidRDefault="00E752D5" w:rsidP="00E752D5">
            <w:pPr>
              <w:pStyle w:val="ConsPlusNormal"/>
              <w:widowControl/>
              <w:ind w:firstLine="567"/>
              <w:rPr>
                <w:sz w:val="24"/>
                <w:szCs w:val="24"/>
              </w:rPr>
            </w:pPr>
            <w:r w:rsidRPr="00E752D5">
              <w:rPr>
                <w:sz w:val="24"/>
                <w:szCs w:val="24"/>
              </w:rPr>
              <w:t>Округ</w:t>
            </w:r>
          </w:p>
        </w:tc>
      </w:tr>
    </w:tbl>
    <w:p w:rsidR="00E752D5" w:rsidRPr="00E752D5" w:rsidRDefault="00E752D5" w:rsidP="00E752D5">
      <w:pPr>
        <w:jc w:val="center"/>
        <w:rPr>
          <w:rFonts w:cs="Arial"/>
          <w:b/>
          <w:bCs/>
          <w:szCs w:val="28"/>
        </w:rPr>
      </w:pPr>
    </w:p>
    <w:p w:rsidR="00E752D5" w:rsidRPr="00E752D5" w:rsidRDefault="00E752D5" w:rsidP="00E752D5">
      <w:pPr>
        <w:jc w:val="center"/>
        <w:rPr>
          <w:rFonts w:cs="Arial"/>
          <w:b/>
          <w:bCs/>
          <w:szCs w:val="28"/>
        </w:rPr>
      </w:pPr>
    </w:p>
    <w:p w:rsidR="00294E78" w:rsidRPr="00E752D5" w:rsidRDefault="00294E78" w:rsidP="00E752D5">
      <w:pPr>
        <w:rPr>
          <w:rFonts w:cs="Arial"/>
        </w:rPr>
      </w:pPr>
    </w:p>
    <w:sectPr w:rsidR="00294E78" w:rsidRPr="00E752D5" w:rsidSect="006D49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compat/>
  <w:rsids>
    <w:rsidRoot w:val="00363BE2"/>
    <w:rsid w:val="000C6EA1"/>
    <w:rsid w:val="00185EDB"/>
    <w:rsid w:val="00294E78"/>
    <w:rsid w:val="00363BE2"/>
    <w:rsid w:val="00371FAF"/>
    <w:rsid w:val="003F4CCC"/>
    <w:rsid w:val="006543C0"/>
    <w:rsid w:val="006D4935"/>
    <w:rsid w:val="006F34D1"/>
    <w:rsid w:val="00995D04"/>
    <w:rsid w:val="00B17E7D"/>
    <w:rsid w:val="00D978D6"/>
    <w:rsid w:val="00E7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71FA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1FA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1FA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1FA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1FA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3BE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363B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4E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4E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4E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4E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1FA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71FA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294E7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71FA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71FAF"/>
    <w:rPr>
      <w:color w:val="0000FF"/>
      <w:u w:val="none"/>
    </w:rPr>
  </w:style>
  <w:style w:type="paragraph" w:customStyle="1" w:styleId="Application">
    <w:name w:val="Application!Приложение"/>
    <w:rsid w:val="00371FA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1FA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1FA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E75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llowedHyperlink"/>
    <w:basedOn w:val="a0"/>
    <w:rsid w:val="00185EDB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371FAF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4">
    <w:name w:val="Текст Знак"/>
    <w:link w:val="a3"/>
    <w:rsid w:val="00371FA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edition\1ec78af0-90a5-43eb-991c-e1577e524add.doc" TargetMode="External"/><Relationship Id="rId5" Type="http://schemas.openxmlformats.org/officeDocument/2006/relationships/hyperlink" Target="file:///C:\content\edition\5c7ac4cc-c517-4d62-85ab-a95991f9bdc9.doc" TargetMode="External"/><Relationship Id="rId4" Type="http://schemas.openxmlformats.org/officeDocument/2006/relationships/hyperlink" Target="file:///C:\content\act\cfdc7afd-e2b9-4d3c-b3ac-c95066f28c2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7065</CharactersWithSpaces>
  <SharedDoc>false</SharedDoc>
  <HLinks>
    <vt:vector size="12" baseType="variant">
      <vt:variant>
        <vt:i4>68355107</vt:i4>
      </vt:variant>
      <vt:variant>
        <vt:i4>3</vt:i4>
      </vt:variant>
      <vt:variant>
        <vt:i4>0</vt:i4>
      </vt:variant>
      <vt:variant>
        <vt:i4>5</vt:i4>
      </vt:variant>
      <vt:variant>
        <vt:lpwstr>/content/edition/1ec78af0-90a5-43eb-991c-e1577e524add.doc</vt:lpwstr>
      </vt:variant>
      <vt:variant>
        <vt:lpwstr>приложение</vt:lpwstr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/content/edition/5c7ac4cc-c517-4d62-85ab-a95991f9bdc9.doc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Данскер Наталья Юрьевна</dc:creator>
  <cp:lastModifiedBy>Екатерина Потапова</cp:lastModifiedBy>
  <cp:revision>2</cp:revision>
  <cp:lastPrinted>2012-05-18T10:40:00Z</cp:lastPrinted>
  <dcterms:created xsi:type="dcterms:W3CDTF">2019-06-20T06:23:00Z</dcterms:created>
  <dcterms:modified xsi:type="dcterms:W3CDTF">2019-06-20T06:23:00Z</dcterms:modified>
</cp:coreProperties>
</file>